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62" w:rsidRPr="007D689C" w:rsidRDefault="00DA5C62" w:rsidP="00DA5C62">
      <w:pPr>
        <w:pStyle w:val="10"/>
        <w:spacing w:before="312"/>
      </w:pPr>
      <w:bookmarkStart w:id="0" w:name="_Toc509211731"/>
      <w:r>
        <w:rPr>
          <w:rFonts w:hint="eastAsia"/>
        </w:rPr>
        <w:t>第03包</w:t>
      </w:r>
      <w:r w:rsidRPr="007D689C">
        <w:rPr>
          <w:rFonts w:hint="eastAsia"/>
        </w:rPr>
        <w:t>、</w:t>
      </w:r>
      <w:r w:rsidR="00745DDF">
        <w:rPr>
          <w:rFonts w:hint="eastAsia"/>
        </w:rPr>
        <w:t>野战仓库能源保障设备</w:t>
      </w:r>
      <w:bookmarkEnd w:id="0"/>
    </w:p>
    <w:p w:rsidR="00DA5C62" w:rsidRPr="007D689C" w:rsidRDefault="00745DDF" w:rsidP="00DA5C62">
      <w:pPr>
        <w:adjustRightInd w:val="0"/>
        <w:snapToGrid w:val="0"/>
        <w:spacing w:line="360" w:lineRule="auto"/>
        <w:ind w:firstLine="420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野战仓库能源保障设备</w:t>
      </w:r>
      <w:r w:rsidR="00DA5C62"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为</w:t>
      </w:r>
      <w:r w:rsidR="00DA5C62"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25kW</w:t>
      </w:r>
      <w:r w:rsidR="00DA5C62"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高机动挂车电站，主要用于</w:t>
      </w:r>
      <w:r w:rsidR="00DA5C62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野外</w:t>
      </w:r>
      <w:r w:rsidR="00DA5C62"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仓库仓储作业及人员生活用电供应。</w:t>
      </w:r>
    </w:p>
    <w:p w:rsidR="00DA5C62" w:rsidRPr="007D689C" w:rsidRDefault="00DA5C62" w:rsidP="00DA5C62">
      <w:pPr>
        <w:pStyle w:val="1"/>
        <w:tabs>
          <w:tab w:val="num" w:pos="360"/>
          <w:tab w:val="left" w:pos="420"/>
        </w:tabs>
        <w:adjustRightInd w:val="0"/>
        <w:snapToGrid w:val="0"/>
        <w:spacing w:beforeLines="100" w:before="312" w:after="0" w:line="360" w:lineRule="auto"/>
        <w:rPr>
          <w:rFonts w:ascii="黑体" w:eastAsia="黑体"/>
          <w:b w:val="0"/>
          <w:sz w:val="24"/>
          <w:szCs w:val="24"/>
        </w:rPr>
      </w:pPr>
      <w:r w:rsidRPr="007D689C">
        <w:rPr>
          <w:rFonts w:ascii="黑体" w:eastAsia="黑体" w:hint="eastAsia"/>
          <w:b w:val="0"/>
          <w:sz w:val="24"/>
          <w:szCs w:val="24"/>
        </w:rPr>
        <w:t>1 总体要求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="419"/>
        <w:rPr>
          <w:rFonts w:ascii="Times New Roman" w:eastAsia="宋体" w:hAnsi="Times New Roman" w:cs="Times New Roman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25kW</w:t>
      </w: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高机动电站（以下简称</w:t>
      </w:r>
      <w:r w:rsidRPr="007D689C">
        <w:rPr>
          <w:rFonts w:ascii="宋体" w:eastAsia="宋体" w:hAnsi="宋体" w:cs="Times New Roman"/>
          <w:sz w:val="24"/>
          <w:szCs w:val="24"/>
          <w:u w:color="000000"/>
        </w:rPr>
        <w:t>“电站”</w:t>
      </w: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）总体上应满足</w:t>
      </w:r>
      <w:r>
        <w:rPr>
          <w:rFonts w:ascii="Times New Roman" w:eastAsia="宋体" w:hAnsi="Times New Roman" w:cs="Times New Roman"/>
          <w:sz w:val="24"/>
          <w:szCs w:val="24"/>
          <w:u w:color="000000"/>
        </w:rPr>
        <w:t>野外</w:t>
      </w: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仓储分队野外机动、作业和生活要求。电站应采用拖挂式，适应高机动车辆牵引机动，满足公路、铁路、水上、空中运输要求，适应快速战略战役投送，运行噪音低，体积小、重量轻，具备</w:t>
      </w:r>
      <w:r>
        <w:rPr>
          <w:rFonts w:ascii="Times New Roman" w:eastAsia="宋体" w:hAnsi="Times New Roman" w:cs="Times New Roman"/>
          <w:sz w:val="24"/>
          <w:szCs w:val="24"/>
          <w:u w:color="000000"/>
        </w:rPr>
        <w:t>野外</w:t>
      </w: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发电和放射型配电网络输出，具备良好的战场环境适应性，可靠性高，维修简单方便，对保障资源无特殊</w:t>
      </w:r>
      <w:bookmarkStart w:id="1" w:name="_GoBack"/>
      <w:bookmarkEnd w:id="1"/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要求，使用安全，操作简单，对操作人员无特殊要求。柴油发电机组应采用经过试验验证过且技术先进、成熟、性能优良的产品，充分保障机组的电气性能和精度指标，用户操作方便；挂车底盘应采用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成熟定型的轻型越野挂车作为运载平台</w:t>
      </w:r>
      <w:r w:rsidRPr="007D689C">
        <w:rPr>
          <w:rFonts w:ascii="Times New Roman" w:eastAsia="宋体" w:hAnsi="Times New Roman" w:cs="Times New Roman"/>
          <w:sz w:val="24"/>
          <w:szCs w:val="24"/>
          <w:u w:color="000000"/>
        </w:rPr>
        <w:t>，同时配备美观、结实、布局结构合理、经济的军用方舱结构。</w:t>
      </w:r>
    </w:p>
    <w:p w:rsidR="00DA5C62" w:rsidRPr="007D689C" w:rsidRDefault="00DA5C62" w:rsidP="00DA5C62">
      <w:pPr>
        <w:pStyle w:val="1"/>
        <w:tabs>
          <w:tab w:val="num" w:pos="360"/>
          <w:tab w:val="left" w:pos="420"/>
        </w:tabs>
        <w:adjustRightInd w:val="0"/>
        <w:snapToGrid w:val="0"/>
        <w:spacing w:beforeLines="100" w:before="312" w:after="0" w:line="360" w:lineRule="auto"/>
        <w:rPr>
          <w:rFonts w:ascii="黑体" w:eastAsia="黑体"/>
          <w:b w:val="0"/>
          <w:sz w:val="24"/>
          <w:szCs w:val="24"/>
        </w:rPr>
      </w:pPr>
      <w:r w:rsidRPr="007D689C">
        <w:rPr>
          <w:rFonts w:ascii="黑体" w:eastAsia="黑体" w:hint="eastAsia"/>
          <w:b w:val="0"/>
          <w:sz w:val="24"/>
          <w:szCs w:val="24"/>
        </w:rPr>
        <w:t>2 技术指标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整车参数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sz w:val="24"/>
          <w:szCs w:val="24"/>
        </w:rPr>
        <w:t>整备质量：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sz w:val="24"/>
          <w:szCs w:val="24"/>
        </w:rPr>
        <w:t>4</w:t>
      </w:r>
      <w:r w:rsidRPr="007D689C">
        <w:rPr>
          <w:rFonts w:ascii="Times New Roman" w:eastAsia="宋体" w:hAnsi="Times New Roman" w:cs="Times New Roman"/>
          <w:sz w:val="24"/>
          <w:szCs w:val="24"/>
        </w:rPr>
        <w:t>2000kg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宋体" w:hAnsi="宋体" w:cs="宋体" w:hint="eastAsia"/>
          <w:b/>
          <w:bCs/>
          <w:sz w:val="24"/>
          <w:szCs w:val="24"/>
        </w:rPr>
        <w:t>＃</w:t>
      </w:r>
      <w:r w:rsidRPr="007D689C">
        <w:rPr>
          <w:rFonts w:ascii="Times New Roman" w:eastAsia="宋体" w:hAnsi="Times New Roman" w:cs="Times New Roman"/>
          <w:sz w:val="24"/>
          <w:szCs w:val="24"/>
        </w:rPr>
        <w:t>外形尺寸：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sz w:val="24"/>
          <w:szCs w:val="24"/>
        </w:rPr>
        <w:t>4000×2200×2000mm</w:t>
      </w:r>
      <w:r w:rsidRPr="007D689C">
        <w:rPr>
          <w:rFonts w:ascii="Times New Roman" w:eastAsia="宋体" w:hAnsi="Times New Roman" w:cs="Times New Roman"/>
          <w:sz w:val="24"/>
          <w:szCs w:val="24"/>
        </w:rPr>
        <w:t>（长</w:t>
      </w:r>
      <w:r w:rsidRPr="007D689C">
        <w:rPr>
          <w:rFonts w:ascii="Times New Roman" w:eastAsia="宋体" w:hAnsi="Times New Roman" w:cs="Times New Roman"/>
          <w:sz w:val="24"/>
          <w:szCs w:val="24"/>
        </w:rPr>
        <w:t>×</w:t>
      </w:r>
      <w:r w:rsidRPr="007D689C">
        <w:rPr>
          <w:rFonts w:ascii="Times New Roman" w:eastAsia="宋体" w:hAnsi="Times New Roman" w:cs="Times New Roman"/>
          <w:sz w:val="24"/>
          <w:szCs w:val="24"/>
        </w:rPr>
        <w:t>宽</w:t>
      </w:r>
      <w:r w:rsidRPr="007D689C">
        <w:rPr>
          <w:rFonts w:ascii="Times New Roman" w:eastAsia="宋体" w:hAnsi="Times New Roman" w:cs="Times New Roman"/>
          <w:sz w:val="24"/>
          <w:szCs w:val="24"/>
        </w:rPr>
        <w:t>×</w:t>
      </w:r>
      <w:r w:rsidRPr="007D689C">
        <w:rPr>
          <w:rFonts w:ascii="Times New Roman" w:eastAsia="宋体" w:hAnsi="Times New Roman" w:cs="Times New Roman"/>
          <w:sz w:val="24"/>
          <w:szCs w:val="24"/>
        </w:rPr>
        <w:t>高）；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sz w:val="24"/>
          <w:szCs w:val="24"/>
        </w:rPr>
        <w:t>最高拖行速度：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100km/h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离去角：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30°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驻坡度：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30%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sz w:val="24"/>
          <w:szCs w:val="24"/>
        </w:rPr>
        <w:t>最小离地间隙：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350mm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涉水深度：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700mm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7"/>
        </w:numPr>
        <w:adjustRightInd w:val="0"/>
        <w:snapToGrid w:val="0"/>
        <w:spacing w:line="360" w:lineRule="auto"/>
        <w:textAlignment w:val="baseline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sz w:val="24"/>
          <w:szCs w:val="24"/>
        </w:rPr>
        <w:t>运行噪音：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sz w:val="24"/>
          <w:szCs w:val="24"/>
        </w:rPr>
        <w:t>75dB(A)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.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2.2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电气参数</w:t>
      </w:r>
    </w:p>
    <w:p w:rsidR="00DA5C62" w:rsidRPr="007D689C" w:rsidRDefault="00DA5C62" w:rsidP="00DA5C62">
      <w:pPr>
        <w:widowControl/>
        <w:numPr>
          <w:ilvl w:val="0"/>
          <w:numId w:val="8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额定功率：</w:t>
      </w:r>
      <w:r w:rsidRPr="007D689C">
        <w:rPr>
          <w:rFonts w:ascii="Times New Roman" w:eastAsia="宋体" w:hAnsi="Times New Roman" w:cs="Times New Roman"/>
          <w:sz w:val="24"/>
          <w:szCs w:val="24"/>
        </w:rPr>
        <w:t>25kW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8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额定电压：</w:t>
      </w:r>
      <w:r w:rsidRPr="007D689C">
        <w:rPr>
          <w:rFonts w:ascii="Times New Roman" w:eastAsia="宋体" w:hAnsi="Times New Roman" w:cs="Times New Roman"/>
          <w:sz w:val="24"/>
          <w:szCs w:val="24"/>
        </w:rPr>
        <w:t>400/230V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8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额定频率：</w:t>
      </w:r>
      <w:r w:rsidRPr="007D689C">
        <w:rPr>
          <w:rFonts w:ascii="Times New Roman" w:eastAsia="宋体" w:hAnsi="Times New Roman" w:cs="Times New Roman"/>
          <w:sz w:val="24"/>
          <w:szCs w:val="24"/>
        </w:rPr>
        <w:t>50Hz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8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lastRenderedPageBreak/>
        <w:t>功率因数：</w:t>
      </w:r>
      <w:r w:rsidRPr="007D689C">
        <w:rPr>
          <w:rFonts w:ascii="Times New Roman" w:eastAsia="宋体" w:hAnsi="Times New Roman" w:cs="Times New Roman"/>
          <w:sz w:val="24"/>
          <w:szCs w:val="24"/>
        </w:rPr>
        <w:t>0.8</w:t>
      </w:r>
      <w:r w:rsidRPr="007D689C">
        <w:rPr>
          <w:rFonts w:ascii="Times New Roman" w:eastAsia="宋体" w:hAnsi="Times New Roman" w:cs="Times New Roman"/>
          <w:sz w:val="24"/>
          <w:szCs w:val="24"/>
        </w:rPr>
        <w:t>（滞后）；</w:t>
      </w:r>
    </w:p>
    <w:p w:rsidR="00DA5C62" w:rsidRPr="007D689C" w:rsidRDefault="00DA5C62" w:rsidP="00DA5C62">
      <w:pPr>
        <w:widowControl/>
        <w:numPr>
          <w:ilvl w:val="0"/>
          <w:numId w:val="8"/>
        </w:numPr>
        <w:adjustRightInd w:val="0"/>
        <w:snapToGrid w:val="0"/>
        <w:spacing w:line="360" w:lineRule="auto"/>
        <w:textAlignment w:val="baseline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供电制式：三相四线制，中线绝缘系统。电站所有设备外壳与保护地等电位连接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2.3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电气性能指标</w:t>
      </w:r>
    </w:p>
    <w:p w:rsidR="00DA5C62" w:rsidRPr="007D689C" w:rsidRDefault="00DA5C62" w:rsidP="00DA5C62">
      <w:pPr>
        <w:widowControl/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电压调节范围：</w:t>
      </w:r>
      <w:r w:rsidRPr="007D689C">
        <w:rPr>
          <w:rFonts w:ascii="Times New Roman" w:eastAsia="宋体" w:hAnsi="Times New Roman" w:cs="Times New Roman"/>
          <w:sz w:val="24"/>
          <w:szCs w:val="24"/>
        </w:rPr>
        <w:t>95%</w:t>
      </w:r>
      <w:r w:rsidRPr="007D689C">
        <w:rPr>
          <w:rFonts w:ascii="Times New Roman" w:eastAsia="宋体" w:hAnsi="Times New Roman" w:cs="Times New Roman"/>
          <w:sz w:val="24"/>
          <w:szCs w:val="24"/>
        </w:rPr>
        <w:t>～</w:t>
      </w:r>
      <w:r w:rsidRPr="007D689C">
        <w:rPr>
          <w:rFonts w:ascii="Times New Roman" w:eastAsia="宋体" w:hAnsi="Times New Roman" w:cs="Times New Roman"/>
          <w:sz w:val="24"/>
          <w:szCs w:val="24"/>
        </w:rPr>
        <w:t>105%</w:t>
      </w:r>
      <w:r w:rsidRPr="007D689C">
        <w:rPr>
          <w:rFonts w:ascii="Times New Roman" w:eastAsia="宋体" w:hAnsi="Times New Roman" w:cs="Times New Roman"/>
          <w:sz w:val="24"/>
          <w:szCs w:val="24"/>
        </w:rPr>
        <w:t>的额定电压。</w:t>
      </w:r>
    </w:p>
    <w:p w:rsidR="00DA5C62" w:rsidRPr="007D689C" w:rsidRDefault="00DA5C62" w:rsidP="00DA5C62">
      <w:pPr>
        <w:widowControl/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调整率、稳定时间和波动率。</w:t>
      </w:r>
    </w:p>
    <w:p w:rsidR="00DA5C62" w:rsidRPr="007D689C" w:rsidRDefault="00DA5C62" w:rsidP="00DA5C62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机组在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95%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～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100%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额定电压和频率的调整率、稳定时间和波动率符合表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1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。</w:t>
      </w:r>
    </w:p>
    <w:p w:rsidR="00DA5C62" w:rsidRPr="007D689C" w:rsidRDefault="00DA5C62" w:rsidP="00DA5C62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sz w:val="24"/>
          <w:szCs w:val="24"/>
        </w:rPr>
      </w:pPr>
      <w:r w:rsidRPr="007D689C">
        <w:rPr>
          <w:rFonts w:ascii="Times New Roman" w:eastAsia="黑体" w:hAnsi="Times New Roman" w:cs="Times New Roman"/>
          <w:sz w:val="24"/>
          <w:szCs w:val="24"/>
        </w:rPr>
        <w:t>表</w:t>
      </w:r>
      <w:r w:rsidRPr="007D689C">
        <w:rPr>
          <w:rFonts w:ascii="Times New Roman" w:eastAsia="黑体" w:hAnsi="Times New Roman" w:cs="Times New Roman"/>
          <w:sz w:val="24"/>
          <w:szCs w:val="24"/>
        </w:rPr>
        <w:t xml:space="preserve"> 1  </w:t>
      </w:r>
      <w:r w:rsidRPr="007D689C">
        <w:rPr>
          <w:rFonts w:ascii="Times New Roman" w:eastAsia="黑体" w:hAnsi="Times New Roman" w:cs="Times New Roman"/>
          <w:sz w:val="24"/>
          <w:szCs w:val="24"/>
        </w:rPr>
        <w:t>调整率、稳定时间和波动率</w:t>
      </w:r>
    </w:p>
    <w:tbl>
      <w:tblPr>
        <w:tblW w:w="850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1333"/>
        <w:gridCol w:w="987"/>
        <w:gridCol w:w="896"/>
        <w:gridCol w:w="1157"/>
        <w:gridCol w:w="1157"/>
        <w:gridCol w:w="922"/>
        <w:gridCol w:w="896"/>
      </w:tblGrid>
      <w:tr w:rsidR="00DA5C62" w:rsidRPr="007D689C" w:rsidTr="001E212B">
        <w:trPr>
          <w:trHeight w:val="454"/>
        </w:trPr>
        <w:tc>
          <w:tcPr>
            <w:tcW w:w="0" w:type="auto"/>
            <w:gridSpan w:val="4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电压特性</w:t>
            </w:r>
          </w:p>
        </w:tc>
        <w:tc>
          <w:tcPr>
            <w:tcW w:w="0" w:type="auto"/>
            <w:gridSpan w:val="4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频率特性</w:t>
            </w:r>
          </w:p>
        </w:tc>
      </w:tr>
      <w:tr w:rsidR="00DA5C62" w:rsidRPr="007D689C" w:rsidTr="001E212B">
        <w:trPr>
          <w:trHeight w:val="454"/>
        </w:trPr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稳态调整率％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瞬态调整率％</w:t>
            </w:r>
            <w:r w:rsidRPr="007D689C">
              <w:rPr>
                <w:rFonts w:ascii="宋体" w:hAnsi="宋体" w:cs="宋体" w:hint="eastAsia"/>
                <w:b/>
                <w:bCs/>
                <w:szCs w:val="21"/>
              </w:rPr>
              <w:t>＃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 w:hint="eastAsia"/>
                <w:kern w:val="0"/>
                <w:szCs w:val="21"/>
                <w:u w:color="000000"/>
              </w:rPr>
              <w:t>#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稳定时间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S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波动率％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稳态调整率％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瞬态调整率％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稳定时间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S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波动率％</w:t>
            </w:r>
          </w:p>
        </w:tc>
      </w:tr>
      <w:tr w:rsidR="00DA5C62" w:rsidRPr="007D689C" w:rsidTr="001E212B">
        <w:trPr>
          <w:trHeight w:val="454"/>
        </w:trPr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宋体" w:hAnsi="宋体" w:cs="Arial" w:hint="eastAsia"/>
                <w:szCs w:val="21"/>
              </w:rPr>
              <w:t>≤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±3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+20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、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-20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宋体" w:hAnsi="宋体" w:cs="Arial" w:hint="eastAsia"/>
                <w:szCs w:val="21"/>
              </w:rPr>
              <w:t>≤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1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0.5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宋体" w:hAnsi="宋体" w:cs="Arial" w:hint="eastAsia"/>
                <w:szCs w:val="21"/>
              </w:rPr>
              <w:t>≤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±3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±7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宋体" w:hAnsi="宋体" w:cs="Arial" w:hint="eastAsia"/>
                <w:szCs w:val="21"/>
              </w:rPr>
              <w:t>≤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5</w:t>
            </w:r>
          </w:p>
        </w:tc>
        <w:tc>
          <w:tcPr>
            <w:tcW w:w="0" w:type="auto"/>
            <w:vAlign w:val="center"/>
          </w:tcPr>
          <w:p w:rsidR="00DA5C62" w:rsidRPr="007D689C" w:rsidRDefault="00DA5C62" w:rsidP="001E212B">
            <w:pPr>
              <w:widowControl/>
              <w:adjustRightInd w:val="0"/>
              <w:snapToGri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0.5</w:t>
            </w:r>
          </w:p>
        </w:tc>
      </w:tr>
    </w:tbl>
    <w:p w:rsidR="00DA5C62" w:rsidRPr="007D689C" w:rsidRDefault="00DA5C62" w:rsidP="00DA5C62">
      <w:pPr>
        <w:widowControl/>
        <w:numPr>
          <w:ilvl w:val="0"/>
          <w:numId w:val="1"/>
        </w:numPr>
        <w:tabs>
          <w:tab w:val="num" w:pos="0"/>
        </w:tabs>
        <w:adjustRightInd w:val="0"/>
        <w:snapToGrid w:val="0"/>
        <w:spacing w:line="360" w:lineRule="auto"/>
        <w:ind w:hanging="414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其它按</w:t>
      </w:r>
      <w:r w:rsidRPr="007D689C">
        <w:rPr>
          <w:rFonts w:ascii="Times New Roman" w:eastAsia="宋体" w:hAnsi="Times New Roman" w:cs="Times New Roman"/>
          <w:sz w:val="24"/>
          <w:szCs w:val="24"/>
        </w:rPr>
        <w:t>GJB</w:t>
      </w:r>
      <w:smartTag w:uri="urn:schemas-microsoft-com:office:smarttags" w:element="chmetcnv">
        <w:smartTagPr>
          <w:attr w:name="UnitName" w:val="a"/>
          <w:attr w:name="SourceValue" w:val="235"/>
          <w:attr w:name="HasSpace" w:val="False"/>
          <w:attr w:name="Negative" w:val="False"/>
          <w:attr w:name="NumberType" w:val="1"/>
          <w:attr w:name="TCSC" w:val="0"/>
        </w:smartTagPr>
        <w:r w:rsidRPr="007D689C">
          <w:rPr>
            <w:rFonts w:ascii="Times New Roman" w:eastAsia="宋体" w:hAnsi="Times New Roman" w:cs="Times New Roman"/>
            <w:sz w:val="24"/>
            <w:szCs w:val="24"/>
          </w:rPr>
          <w:t>235A</w:t>
        </w:r>
      </w:smartTag>
      <w:r w:rsidRPr="007D689C">
        <w:rPr>
          <w:rFonts w:ascii="Times New Roman" w:eastAsia="宋体" w:hAnsi="Times New Roman" w:cs="Times New Roman"/>
          <w:sz w:val="24"/>
          <w:szCs w:val="24"/>
        </w:rPr>
        <w:t>-97</w:t>
      </w:r>
      <w:r w:rsidRPr="007D689C">
        <w:rPr>
          <w:rFonts w:ascii="Times New Roman" w:eastAsia="宋体" w:hAnsi="Times New Roman" w:cs="Times New Roman"/>
          <w:sz w:val="24"/>
          <w:szCs w:val="24"/>
        </w:rPr>
        <w:t>要求。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2.4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启动要求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启动方式：电启动；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常温启动：电站在不低于</w:t>
      </w:r>
      <w:r w:rsidRPr="007D689C">
        <w:rPr>
          <w:rFonts w:ascii="Times New Roman" w:eastAsia="宋体" w:hAnsi="Times New Roman" w:cs="Times New Roman"/>
          <w:sz w:val="24"/>
          <w:szCs w:val="24"/>
        </w:rPr>
        <w:t>5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环境温度时，三次内启动成功；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低温启动和带载：加装有低温启动装置：水加热器和进气预热装置。在</w:t>
      </w:r>
      <w:r w:rsidRPr="007D689C">
        <w:rPr>
          <w:rFonts w:ascii="Times New Roman" w:eastAsia="宋体" w:hAnsi="Times New Roman" w:cs="Times New Roman"/>
          <w:sz w:val="24"/>
          <w:szCs w:val="24"/>
        </w:rPr>
        <w:t>-40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环境温度时，在</w:t>
      </w:r>
      <w:r w:rsidRPr="007D689C">
        <w:rPr>
          <w:rFonts w:ascii="Times New Roman" w:eastAsia="宋体" w:hAnsi="Times New Roman" w:cs="Times New Roman"/>
          <w:sz w:val="24"/>
          <w:szCs w:val="24"/>
        </w:rPr>
        <w:t xml:space="preserve">30min </w:t>
      </w:r>
      <w:r w:rsidRPr="007D689C">
        <w:rPr>
          <w:rFonts w:ascii="Times New Roman" w:eastAsia="宋体" w:hAnsi="Times New Roman" w:cs="Times New Roman"/>
          <w:sz w:val="24"/>
          <w:szCs w:val="24"/>
        </w:rPr>
        <w:t>内可顺利启动，并在启动成功后</w:t>
      </w:r>
      <w:r w:rsidRPr="007D689C">
        <w:rPr>
          <w:rFonts w:ascii="Times New Roman" w:eastAsia="宋体" w:hAnsi="Times New Roman" w:cs="Times New Roman"/>
          <w:sz w:val="24"/>
          <w:szCs w:val="24"/>
        </w:rPr>
        <w:t xml:space="preserve">3min </w:t>
      </w:r>
      <w:r w:rsidRPr="007D689C">
        <w:rPr>
          <w:rFonts w:ascii="Times New Roman" w:eastAsia="宋体" w:hAnsi="Times New Roman" w:cs="Times New Roman"/>
          <w:sz w:val="24"/>
          <w:szCs w:val="24"/>
        </w:rPr>
        <w:t>内具有带额定负载正常工作的能力。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2.5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连续工作</w:t>
      </w:r>
    </w:p>
    <w:p w:rsidR="00DA5C62" w:rsidRPr="007D689C" w:rsidRDefault="00DA5C62" w:rsidP="00DA5C62">
      <w:pPr>
        <w:widowControl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连续无故障工作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12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小时。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2.6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机组供电与市电的切换功能</w:t>
      </w:r>
    </w:p>
    <w:p w:rsidR="00DA5C62" w:rsidRPr="007D689C" w:rsidRDefault="00DA5C62" w:rsidP="00DA5C62">
      <w:pPr>
        <w:widowControl/>
        <w:numPr>
          <w:ilvl w:val="0"/>
          <w:numId w:val="5"/>
        </w:numPr>
        <w:tabs>
          <w:tab w:val="num" w:pos="0"/>
        </w:tabs>
        <w:adjustRightInd w:val="0"/>
        <w:snapToGrid w:val="0"/>
        <w:spacing w:line="360" w:lineRule="auto"/>
        <w:ind w:hanging="414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电站要具备市电输入及检测能力，当市电电压超出</w:t>
      </w:r>
      <w:r w:rsidRPr="007D689C">
        <w:rPr>
          <w:rFonts w:ascii="Times New Roman" w:eastAsia="宋体" w:hAnsi="Times New Roman" w:cs="Times New Roman"/>
          <w:sz w:val="24"/>
          <w:szCs w:val="24"/>
        </w:rPr>
        <w:t>400V</w:t>
      </w:r>
      <w:r w:rsidRPr="007D689C">
        <w:rPr>
          <w:rFonts w:ascii="Times New Roman" w:eastAsia="宋体" w:hAnsi="Times New Roman" w:cs="Times New Roman"/>
          <w:sz w:val="24"/>
          <w:szCs w:val="24"/>
        </w:rPr>
        <w:t>（可配置）</w:t>
      </w:r>
      <w:r w:rsidRPr="007D689C">
        <w:rPr>
          <w:rFonts w:ascii="Times New Roman" w:eastAsia="宋体" w:hAnsi="Times New Roman" w:cs="Times New Roman"/>
          <w:sz w:val="24"/>
          <w:szCs w:val="24"/>
        </w:rPr>
        <w:t>±8%</w:t>
      </w:r>
      <w:r w:rsidRPr="007D689C">
        <w:rPr>
          <w:rFonts w:ascii="Times New Roman" w:eastAsia="宋体" w:hAnsi="Times New Roman" w:cs="Times New Roman"/>
          <w:sz w:val="24"/>
          <w:szCs w:val="24"/>
        </w:rPr>
        <w:t>，</w:t>
      </w:r>
      <w:r w:rsidRPr="007D689C">
        <w:rPr>
          <w:rFonts w:ascii="Times New Roman" w:eastAsia="宋体" w:hAnsi="Times New Roman" w:cs="Times New Roman"/>
          <w:sz w:val="24"/>
          <w:szCs w:val="24"/>
        </w:rPr>
        <w:t xml:space="preserve"> 20</w:t>
      </w:r>
      <w:r w:rsidRPr="007D689C">
        <w:rPr>
          <w:rFonts w:ascii="Times New Roman" w:eastAsia="宋体" w:hAnsi="Times New Roman" w:cs="Times New Roman"/>
          <w:sz w:val="24"/>
          <w:szCs w:val="24"/>
        </w:rPr>
        <w:t>分钟内（可配置）、缺相、断电，自动或人工启动发电机组，</w:t>
      </w:r>
      <w:r w:rsidRPr="007D689C">
        <w:rPr>
          <w:rFonts w:ascii="Times New Roman" w:eastAsia="宋体" w:hAnsi="Times New Roman" w:cs="Times New Roman"/>
          <w:sz w:val="24"/>
          <w:szCs w:val="24"/>
        </w:rPr>
        <w:t>30</w:t>
      </w:r>
      <w:r w:rsidRPr="007D689C">
        <w:rPr>
          <w:rFonts w:ascii="Times New Roman" w:eastAsia="宋体" w:hAnsi="Times New Roman" w:cs="Times New Roman"/>
          <w:sz w:val="24"/>
          <w:szCs w:val="24"/>
        </w:rPr>
        <w:t>秒内</w:t>
      </w:r>
      <w:r w:rsidRPr="007D689C">
        <w:rPr>
          <w:rFonts w:ascii="Times New Roman" w:eastAsia="宋体" w:hAnsi="Times New Roman" w:cs="Times New Roman"/>
          <w:sz w:val="24"/>
          <w:szCs w:val="24"/>
        </w:rPr>
        <w:t>(</w:t>
      </w:r>
      <w:r w:rsidRPr="007D689C">
        <w:rPr>
          <w:rFonts w:ascii="Times New Roman" w:eastAsia="宋体" w:hAnsi="Times New Roman" w:cs="Times New Roman"/>
          <w:sz w:val="24"/>
          <w:szCs w:val="24"/>
        </w:rPr>
        <w:t>环境温度</w:t>
      </w:r>
      <w:r w:rsidRPr="007D689C">
        <w:rPr>
          <w:rFonts w:hint="eastAsia"/>
          <w:sz w:val="24"/>
          <w:szCs w:val="24"/>
        </w:rPr>
        <w:t>≥</w:t>
      </w:r>
      <w:smartTag w:uri="urn:schemas-microsoft-com:office:smarttags" w:element="chmetcnv">
        <w:smartTagPr>
          <w:attr w:name="UnitName" w:val="℃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7D689C">
          <w:rPr>
            <w:rFonts w:ascii="Times New Roman" w:eastAsia="宋体" w:hAnsi="Times New Roman" w:cs="Times New Roman"/>
            <w:sz w:val="24"/>
            <w:szCs w:val="24"/>
          </w:rPr>
          <w:t>0</w:t>
        </w:r>
        <w:r w:rsidRPr="007D689C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7D689C">
        <w:rPr>
          <w:rFonts w:ascii="Times New Roman" w:eastAsia="宋体" w:hAnsi="Times New Roman" w:cs="Times New Roman"/>
          <w:sz w:val="24"/>
          <w:szCs w:val="24"/>
        </w:rPr>
        <w:t>时</w:t>
      </w:r>
      <w:r w:rsidRPr="007D689C">
        <w:rPr>
          <w:rFonts w:ascii="Times New Roman" w:eastAsia="宋体" w:hAnsi="Times New Roman" w:cs="Times New Roman"/>
          <w:sz w:val="24"/>
          <w:szCs w:val="24"/>
        </w:rPr>
        <w:t>)</w:t>
      </w:r>
      <w:r w:rsidRPr="007D689C">
        <w:rPr>
          <w:rFonts w:ascii="Times New Roman" w:eastAsia="宋体" w:hAnsi="Times New Roman" w:cs="Times New Roman"/>
          <w:sz w:val="24"/>
          <w:szCs w:val="24"/>
        </w:rPr>
        <w:t>自动或人工切换到发电机组全功率供电；</w:t>
      </w:r>
    </w:p>
    <w:p w:rsidR="00DA5C62" w:rsidRPr="007D689C" w:rsidRDefault="00DA5C62" w:rsidP="00DA5C62">
      <w:pPr>
        <w:widowControl/>
        <w:numPr>
          <w:ilvl w:val="0"/>
          <w:numId w:val="5"/>
        </w:numPr>
        <w:tabs>
          <w:tab w:val="num" w:pos="0"/>
        </w:tabs>
        <w:adjustRightInd w:val="0"/>
        <w:snapToGrid w:val="0"/>
        <w:spacing w:line="360" w:lineRule="auto"/>
        <w:ind w:hanging="414"/>
        <w:textAlignment w:val="baseline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负载由市电供电时，当市电停电，系统自动（或人工）启动发电机组，在</w:t>
      </w:r>
      <w:r w:rsidRPr="007D689C">
        <w:rPr>
          <w:rFonts w:ascii="Times New Roman" w:eastAsia="宋体" w:hAnsi="Times New Roman" w:cs="Times New Roman"/>
          <w:sz w:val="24"/>
          <w:szCs w:val="24"/>
        </w:rPr>
        <w:t>30</w:t>
      </w:r>
      <w:r w:rsidRPr="007D689C">
        <w:rPr>
          <w:rFonts w:ascii="Times New Roman" w:eastAsia="宋体" w:hAnsi="Times New Roman" w:cs="Times New Roman"/>
          <w:sz w:val="24"/>
          <w:szCs w:val="24"/>
        </w:rPr>
        <w:t>秒内</w:t>
      </w:r>
      <w:r w:rsidRPr="007D689C">
        <w:rPr>
          <w:rFonts w:ascii="Times New Roman" w:eastAsia="宋体" w:hAnsi="Times New Roman" w:cs="Times New Roman"/>
          <w:sz w:val="24"/>
          <w:szCs w:val="24"/>
        </w:rPr>
        <w:t>(</w:t>
      </w:r>
      <w:r w:rsidRPr="007D689C">
        <w:rPr>
          <w:rFonts w:ascii="Times New Roman" w:eastAsia="宋体" w:hAnsi="Times New Roman" w:cs="Times New Roman"/>
          <w:sz w:val="24"/>
          <w:szCs w:val="24"/>
        </w:rPr>
        <w:t>环境温度</w:t>
      </w:r>
      <w:r w:rsidRPr="007D689C">
        <w:rPr>
          <w:rFonts w:hint="eastAsia"/>
          <w:sz w:val="24"/>
          <w:szCs w:val="24"/>
        </w:rPr>
        <w:t>≥</w:t>
      </w:r>
      <w:smartTag w:uri="urn:schemas-microsoft-com:office:smarttags" w:element="chmetcnv">
        <w:smartTagPr>
          <w:attr w:name="UnitName" w:val="℃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7D689C">
          <w:rPr>
            <w:rFonts w:ascii="Times New Roman" w:eastAsia="宋体" w:hAnsi="Times New Roman" w:cs="Times New Roman"/>
            <w:sz w:val="24"/>
            <w:szCs w:val="24"/>
          </w:rPr>
          <w:t>0</w:t>
        </w:r>
        <w:r w:rsidRPr="007D689C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7D689C">
        <w:rPr>
          <w:rFonts w:ascii="Times New Roman" w:eastAsia="宋体" w:hAnsi="Times New Roman" w:cs="Times New Roman"/>
          <w:sz w:val="24"/>
          <w:szCs w:val="24"/>
        </w:rPr>
        <w:t>时</w:t>
      </w:r>
      <w:r w:rsidRPr="007D689C">
        <w:rPr>
          <w:rFonts w:ascii="Times New Roman" w:eastAsia="宋体" w:hAnsi="Times New Roman" w:cs="Times New Roman"/>
          <w:sz w:val="24"/>
          <w:szCs w:val="24"/>
        </w:rPr>
        <w:t>)</w:t>
      </w:r>
      <w:r w:rsidRPr="007D689C">
        <w:rPr>
          <w:rFonts w:ascii="Times New Roman" w:eastAsia="宋体" w:hAnsi="Times New Roman" w:cs="Times New Roman"/>
          <w:sz w:val="24"/>
          <w:szCs w:val="24"/>
        </w:rPr>
        <w:t>自动切换到发电机组全功率供电；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2.7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耗油及油量要求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电站机油消耗率</w:t>
      </w:r>
      <w:r w:rsidRPr="007D689C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smartTag w:uri="urn:schemas-microsoft-com:office:smarttags" w:element="chmetcnv">
        <w:smartTagPr>
          <w:attr w:name="UnitName" w:val="g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D689C">
          <w:rPr>
            <w:rFonts w:ascii="Times New Roman" w:eastAsia="宋体" w:hAnsi="Times New Roman" w:cs="Times New Roman"/>
            <w:kern w:val="0"/>
            <w:sz w:val="24"/>
            <w:szCs w:val="24"/>
            <w:u w:color="000000"/>
          </w:rPr>
          <w:t>4g</w:t>
        </w:r>
      </w:smartTag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/kWh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；</w:t>
      </w:r>
    </w:p>
    <w:p w:rsidR="00DA5C62" w:rsidRPr="007D689C" w:rsidRDefault="00DA5C62" w:rsidP="00DA5C62">
      <w:pPr>
        <w:widowControl/>
        <w:adjustRightInd w:val="0"/>
        <w:snapToGrid w:val="0"/>
        <w:spacing w:line="360" w:lineRule="auto"/>
        <w:ind w:firstLineChars="200" w:firstLine="482"/>
        <w:jc w:val="left"/>
        <w:textAlignment w:val="baseline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 w:rsidRPr="007D689C">
        <w:rPr>
          <w:rFonts w:ascii="宋体" w:hAnsi="宋体" w:cs="宋体" w:hint="eastAsia"/>
          <w:b/>
          <w:bCs/>
          <w:sz w:val="24"/>
          <w:szCs w:val="24"/>
          <w:highlight w:val="yellow"/>
        </w:rPr>
        <w:t>＃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电站燃油消耗率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  <w:u w:color="000000"/>
        </w:rPr>
        <w:t>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250g/kWh;</w:t>
      </w:r>
    </w:p>
    <w:p w:rsidR="00DA5C62" w:rsidRPr="007D689C" w:rsidRDefault="00DA5C62" w:rsidP="00DA5C62">
      <w:pPr>
        <w:widowControl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rFonts w:ascii="Times New Roman" w:eastAsia="宋体" w:hAnsi="宋体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lastRenderedPageBreak/>
        <w:t>电站燃油加满情况下应保证在满额输出时连续工作时间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  <w:u w:color="000000"/>
        </w:rPr>
        <w:t>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  <w:t>8h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  <w:u w:color="000000"/>
        </w:rPr>
        <w:t>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2.8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电站配电网络及输出要求</w:t>
      </w:r>
    </w:p>
    <w:p w:rsidR="00DA5C62" w:rsidRPr="007D689C" w:rsidRDefault="00DA5C62" w:rsidP="00DA5C62">
      <w:pPr>
        <w:widowControl/>
        <w:numPr>
          <w:ilvl w:val="0"/>
          <w:numId w:val="6"/>
        </w:numPr>
        <w:adjustRightInd w:val="0"/>
        <w:snapToGrid w:val="0"/>
        <w:spacing w:line="360" w:lineRule="auto"/>
        <w:ind w:hanging="333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bookmarkStart w:id="2" w:name="_Toc420842678"/>
      <w:bookmarkStart w:id="3" w:name="_Toc420844229"/>
      <w:bookmarkStart w:id="4" w:name="_Toc420859967"/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电站配套有二级网络配电系统。由不小于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30m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的主电缆和一个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25kW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多插座配电箱构成电站的一级配电网络系统；由两个不小于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30m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的分电缆盘和不少于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个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3m 10A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及不少于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个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10m 10A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的多用插座构成电站的二级配电网络系统；</w:t>
      </w:r>
    </w:p>
    <w:p w:rsidR="00DA5C62" w:rsidRPr="007D689C" w:rsidRDefault="00DA5C62" w:rsidP="00DA5C62">
      <w:pPr>
        <w:widowControl/>
        <w:numPr>
          <w:ilvl w:val="0"/>
          <w:numId w:val="6"/>
        </w:numPr>
        <w:adjustRightInd w:val="0"/>
        <w:snapToGrid w:val="0"/>
        <w:spacing w:line="360" w:lineRule="auto"/>
        <w:ind w:hanging="333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通过主、分电缆可以将各配电箱和电站连接起来，组成插接式放射型配电网络，供电半径可根据现场需要拼接。</w:t>
      </w:r>
      <w:bookmarkEnd w:id="2"/>
      <w:bookmarkEnd w:id="3"/>
      <w:bookmarkEnd w:id="4"/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2.9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结构要求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2.9.1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电站组成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电站主要由越野挂车底盘、静音方舱、柴油发电机组、控制系统、输出系统、配电网络系统等组成。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2.9.2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电站主要部件要求</w:t>
      </w:r>
    </w:p>
    <w:p w:rsidR="00DA5C62" w:rsidRPr="007D689C" w:rsidRDefault="00DA5C62" w:rsidP="00DA5C62">
      <w:pPr>
        <w:widowControl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rFonts w:ascii="Times New Roman" w:eastAsia="宋体" w:hAnsi="宋体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宋体" w:cs="Times New Roman" w:hint="eastAsia"/>
          <w:kern w:val="0"/>
          <w:sz w:val="24"/>
          <w:szCs w:val="24"/>
          <w:u w:color="000000"/>
        </w:rPr>
        <w:t>挂车底盘选用成熟定型的越野挂车，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  <w:u w:color="000000"/>
        </w:rPr>
        <w:t>机组</w:t>
      </w:r>
      <w:r w:rsidRPr="007D689C">
        <w:rPr>
          <w:rFonts w:ascii="Times New Roman" w:eastAsia="宋体" w:hAnsi="宋体" w:cs="Times New Roman" w:hint="eastAsia"/>
          <w:kern w:val="0"/>
          <w:sz w:val="24"/>
          <w:szCs w:val="24"/>
          <w:u w:color="000000"/>
        </w:rPr>
        <w:t>主机选用电喷柴油机和无刷励磁发电机，控制系统和输出系统设置合理，便于人员操作和监测机组运行状态。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通用质量特性要求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2.10.1</w:t>
      </w:r>
      <w:r w:rsidRPr="007D689C"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  <w:t>可靠性</w:t>
      </w:r>
    </w:p>
    <w:p w:rsidR="00DA5C62" w:rsidRPr="007D689C" w:rsidRDefault="00DA5C62" w:rsidP="00DA5C6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left="709" w:hanging="295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可靠性研制工作符合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GJB 450A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《装备可靠性工作通用要求》的有关规定；</w:t>
      </w:r>
    </w:p>
    <w:p w:rsidR="00DA5C62" w:rsidRPr="007D689C" w:rsidRDefault="00DA5C62" w:rsidP="00DA5C6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left="709" w:hanging="295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底盘改装、机电产品选型符合相关要求，并不降低原系统的可靠性；</w:t>
      </w:r>
    </w:p>
    <w:p w:rsidR="00DA5C62" w:rsidRPr="007D689C" w:rsidRDefault="00DA5C62" w:rsidP="00DA5C62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left="709" w:hanging="295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可靠性定量要求：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514" w:left="1499" w:hangingChars="200" w:hanging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电站的平均故障间隔时间（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MTBF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1000h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514" w:left="1559" w:hangingChars="200" w:hanging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使用寿命：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20000h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514" w:left="1559" w:hangingChars="200" w:hanging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贮存寿命：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10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2.10.2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维修性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a)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维修性研制工作符合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GJB 368B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《装备维修性工作通用要求》的有关规定；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b)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不改变原底盘、主要分系统原有的维修要求，需维修的部位留有足够的维修空间和孔口、方便可达。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c)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维修性定量要求：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514" w:left="1499" w:hangingChars="200" w:hanging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部队级平均修复时间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0.5h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2.10.3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保障性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lastRenderedPageBreak/>
        <w:t>a)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保障性研制工作符合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GJB 3872A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《装备保障性工作通用要求》的有关规定；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b)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保障性定性要求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301" w:left="632" w:firstLineChars="300" w:firstLine="72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7D689C">
        <w:rPr>
          <w:rFonts w:ascii="Times New Roman" w:eastAsia="宋体" w:hAnsi="Times New Roman" w:cs="Times New Roman"/>
          <w:sz w:val="24"/>
          <w:szCs w:val="24"/>
        </w:rPr>
        <w:instrText xml:space="preserve"> = 1 \* GB3 </w:instrTex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7D689C">
        <w:rPr>
          <w:rFonts w:ascii="宋体" w:eastAsia="宋体" w:hAnsi="宋体" w:cs="宋体" w:hint="eastAsia"/>
          <w:noProof/>
          <w:sz w:val="24"/>
          <w:szCs w:val="24"/>
        </w:rPr>
        <w:t>①</w: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7D689C">
        <w:rPr>
          <w:rFonts w:ascii="Times New Roman" w:eastAsia="宋体" w:hAnsi="Times New Roman" w:cs="Times New Roman"/>
          <w:sz w:val="24"/>
          <w:szCs w:val="24"/>
        </w:rPr>
        <w:t>配备满足使用、维修、保养等活动必备的工具、备件、使用说明书等保障资源；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301" w:left="632" w:firstLineChars="300" w:firstLine="72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7D689C">
        <w:rPr>
          <w:rFonts w:ascii="Times New Roman" w:eastAsia="宋体" w:hAnsi="Times New Roman" w:cs="Times New Roman"/>
          <w:sz w:val="24"/>
          <w:szCs w:val="24"/>
        </w:rPr>
        <w:instrText xml:space="preserve"> = 2 \* GB3 </w:instrTex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7D689C">
        <w:rPr>
          <w:rFonts w:ascii="宋体" w:eastAsia="宋体" w:hAnsi="宋体" w:cs="宋体" w:hint="eastAsia"/>
          <w:noProof/>
          <w:sz w:val="24"/>
          <w:szCs w:val="24"/>
        </w:rPr>
        <w:t>②</w: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7D689C">
        <w:rPr>
          <w:rFonts w:ascii="Times New Roman" w:eastAsia="宋体" w:hAnsi="Times New Roman" w:cs="Times New Roman"/>
          <w:sz w:val="24"/>
          <w:szCs w:val="24"/>
        </w:rPr>
        <w:t>维修保障所需的备件和消耗品，充分考虑初始备件利用率和备件数量保障度的合理性；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7D689C">
        <w:rPr>
          <w:rFonts w:ascii="Times New Roman" w:eastAsia="宋体" w:hAnsi="Times New Roman" w:cs="Times New Roman"/>
          <w:sz w:val="24"/>
          <w:szCs w:val="24"/>
        </w:rPr>
        <w:instrText xml:space="preserve"> = 3 \* GB3 </w:instrTex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7D689C">
        <w:rPr>
          <w:rFonts w:ascii="宋体" w:eastAsia="宋体" w:hAnsi="宋体" w:cs="宋体" w:hint="eastAsia"/>
          <w:noProof/>
          <w:sz w:val="24"/>
          <w:szCs w:val="24"/>
        </w:rPr>
        <w:t>③</w:t>
      </w:r>
      <w:r w:rsidRPr="007D689C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7D689C">
        <w:rPr>
          <w:rFonts w:ascii="Times New Roman" w:eastAsia="宋体" w:hAnsi="Times New Roman" w:cs="Times New Roman"/>
          <w:sz w:val="24"/>
          <w:szCs w:val="24"/>
        </w:rPr>
        <w:t>各种油液、润滑脂等符合部队供应标准要求。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2.10.4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测试性（发电机组）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</w:rPr>
        <w:t>a)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测试性研制工作符合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GJB 2547A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《装备测试性工作通用要求》的有关规定；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 w:hint="eastAsia"/>
          <w:sz w:val="24"/>
          <w:szCs w:val="24"/>
        </w:rPr>
        <w:t>b)</w:t>
      </w:r>
      <w:r w:rsidRPr="007D689C">
        <w:rPr>
          <w:rFonts w:ascii="Times New Roman" w:eastAsia="宋体" w:hAnsi="Times New Roman" w:cs="Times New Roman"/>
          <w:sz w:val="24"/>
          <w:szCs w:val="24"/>
        </w:rPr>
        <w:t>需要测试的部位应当预留测试接口，并符合标准测试测量和校准端口规范要求；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</w:rPr>
        <w:t>c)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测试性定量要求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="709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故障检测率</w:t>
      </w:r>
      <w:r w:rsidRPr="007D689C">
        <w:rPr>
          <w:rFonts w:ascii="Times New Roman" w:eastAsia="宋体" w:hAnsi="Times New Roman" w:cs="Times New Roman"/>
          <w:sz w:val="24"/>
          <w:szCs w:val="24"/>
        </w:rPr>
        <w:t>rFD</w:t>
      </w:r>
      <w:r w:rsidRPr="007D689C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0.95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="709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故障隔离率</w:t>
      </w:r>
      <w:r w:rsidRPr="007D689C">
        <w:rPr>
          <w:rFonts w:ascii="Times New Roman" w:eastAsia="宋体" w:hAnsi="Times New Roman" w:cs="Times New Roman"/>
          <w:sz w:val="24"/>
          <w:szCs w:val="24"/>
        </w:rPr>
        <w:t>rFI</w:t>
      </w:r>
      <w:r w:rsidRPr="007D689C">
        <w:rPr>
          <w:rFonts w:ascii="Times New Roman" w:eastAsia="宋体" w:hAnsi="Times New Roman" w:cs="Times New Roman"/>
          <w:sz w:val="24"/>
          <w:szCs w:val="24"/>
        </w:rPr>
        <w:t>（模糊度</w:t>
      </w:r>
      <w:r w:rsidRPr="007D689C">
        <w:rPr>
          <w:rFonts w:ascii="Times New Roman" w:eastAsia="宋体" w:hAnsi="Times New Roman" w:cs="Times New Roman"/>
          <w:sz w:val="24"/>
          <w:szCs w:val="24"/>
        </w:rPr>
        <w:t>3</w:t>
      </w:r>
      <w:r w:rsidRPr="007D689C">
        <w:rPr>
          <w:rFonts w:ascii="Times New Roman" w:eastAsia="宋体" w:hAnsi="Times New Roman" w:cs="Times New Roman"/>
          <w:sz w:val="24"/>
          <w:szCs w:val="24"/>
        </w:rPr>
        <w:t>）</w:t>
      </w:r>
      <w:r w:rsidRPr="007D689C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0.90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="709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虚警率</w:t>
      </w:r>
      <w:r w:rsidRPr="007D689C">
        <w:rPr>
          <w:rFonts w:ascii="Times New Roman" w:eastAsia="宋体" w:hAnsi="Times New Roman" w:cs="Times New Roman"/>
          <w:sz w:val="24"/>
          <w:szCs w:val="24"/>
        </w:rPr>
        <w:t>rFA</w:t>
      </w:r>
      <w:r w:rsidRPr="007D689C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7D689C">
        <w:rPr>
          <w:rFonts w:hint="eastAsia"/>
          <w:sz w:val="24"/>
          <w:szCs w:val="24"/>
        </w:rPr>
        <w:t>≥</w:t>
      </w:r>
      <w:r w:rsidRPr="007D689C">
        <w:rPr>
          <w:rFonts w:ascii="Times New Roman" w:eastAsia="宋体" w:hAnsi="Times New Roman" w:cs="Times New Roman"/>
          <w:sz w:val="24"/>
          <w:szCs w:val="24"/>
        </w:rPr>
        <w:t>于</w:t>
      </w:r>
      <w:r w:rsidRPr="007D689C">
        <w:rPr>
          <w:rFonts w:ascii="Times New Roman" w:eastAsia="宋体" w:hAnsi="Times New Roman" w:cs="Times New Roman"/>
          <w:sz w:val="24"/>
          <w:szCs w:val="24"/>
        </w:rPr>
        <w:t>0.05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2.10.5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安全性</w:t>
      </w:r>
    </w:p>
    <w:p w:rsidR="00DA5C62" w:rsidRPr="007D689C" w:rsidRDefault="00DA5C62" w:rsidP="00DA5C62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851" w:hanging="371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安全性研制工作符合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GJB 900A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《装备安全性工作通用要求》的有关规定；</w:t>
      </w:r>
    </w:p>
    <w:p w:rsidR="00DA5C62" w:rsidRPr="007D689C" w:rsidRDefault="00DA5C62" w:rsidP="00DA5C62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851" w:hanging="371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车辆改装不降低原挂车的行驶安全性要求；</w:t>
      </w:r>
    </w:p>
    <w:p w:rsidR="00DA5C62" w:rsidRPr="007D689C" w:rsidRDefault="00DA5C62" w:rsidP="00DA5C62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851" w:hanging="371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电站接地电阻</w:t>
      </w:r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50Ω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；</w:t>
      </w:r>
    </w:p>
    <w:p w:rsidR="00DA5C62" w:rsidRPr="007D689C" w:rsidRDefault="00DA5C62" w:rsidP="00DA5C62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851" w:hanging="371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电站的绝缘电阻不低于下表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的规定：</w:t>
      </w:r>
    </w:p>
    <w:p w:rsidR="00DA5C62" w:rsidRPr="007D689C" w:rsidRDefault="00DA5C62" w:rsidP="00DA5C62">
      <w:pPr>
        <w:widowControl/>
        <w:adjustRightInd w:val="0"/>
        <w:snapToGrid w:val="0"/>
        <w:spacing w:line="400" w:lineRule="exact"/>
        <w:jc w:val="center"/>
        <w:rPr>
          <w:rFonts w:ascii="Times New Roman" w:eastAsia="黑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黑体" w:hAnsi="Times New Roman" w:cs="Times New Roman"/>
          <w:kern w:val="0"/>
          <w:sz w:val="24"/>
          <w:szCs w:val="24"/>
        </w:rPr>
        <w:t>表</w:t>
      </w:r>
      <w:r w:rsidRPr="007D689C">
        <w:rPr>
          <w:rFonts w:ascii="Times New Roman" w:eastAsia="黑体" w:hAnsi="Times New Roman" w:cs="Times New Roman"/>
          <w:kern w:val="0"/>
          <w:sz w:val="24"/>
          <w:szCs w:val="24"/>
        </w:rPr>
        <w:t xml:space="preserve">2 </w:t>
      </w:r>
      <w:r w:rsidRPr="007D689C">
        <w:rPr>
          <w:rFonts w:ascii="Times New Roman" w:eastAsia="黑体" w:hAnsi="Times New Roman" w:cs="Times New Roman"/>
          <w:kern w:val="0"/>
          <w:sz w:val="24"/>
          <w:szCs w:val="24"/>
        </w:rPr>
        <w:t>绝缘电阻要求</w:t>
      </w: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558"/>
        <w:gridCol w:w="991"/>
        <w:gridCol w:w="3117"/>
        <w:gridCol w:w="1846"/>
      </w:tblGrid>
      <w:tr w:rsidR="00DA5C62" w:rsidRPr="007D689C" w:rsidTr="001E212B">
        <w:trPr>
          <w:trHeight w:hRule="exact" w:val="530"/>
          <w:jc w:val="center"/>
        </w:trPr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项目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部位</w:t>
            </w:r>
          </w:p>
        </w:tc>
        <w:tc>
          <w:tcPr>
            <w:tcW w:w="4108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条件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绝缘电阻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MΩ</w:t>
            </w:r>
          </w:p>
        </w:tc>
      </w:tr>
      <w:tr w:rsidR="00DA5C62" w:rsidRPr="007D689C" w:rsidTr="001E212B">
        <w:trPr>
          <w:trHeight w:hRule="exact" w:val="902"/>
          <w:jc w:val="center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Chars="59" w:firstLine="124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冷态绝</w:t>
            </w:r>
          </w:p>
          <w:p w:rsidR="00DA5C62" w:rsidRPr="007D689C" w:rsidRDefault="00DA5C62" w:rsidP="001E212B">
            <w:pPr>
              <w:widowControl/>
              <w:spacing w:line="351" w:lineRule="atLeast"/>
              <w:ind w:firstLineChars="59" w:firstLine="124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缘电阻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电站各独立电气回路对地及回路间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leftChars="-1" w:left="-2" w:firstLineChars="59" w:firstLine="124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冷态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Chars="177" w:firstLine="372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环境温度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 xml:space="preserve"> 15</w:t>
            </w:r>
            <w:r w:rsidRPr="007D689C">
              <w:rPr>
                <w:rFonts w:ascii="宋体" w:eastAsia="宋体" w:hAnsi="宋体" w:cs="宋体" w:hint="eastAsia"/>
                <w:kern w:val="0"/>
                <w:szCs w:val="21"/>
                <w:u w:color="000000"/>
              </w:rPr>
              <w:t>℃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～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35</w:t>
            </w:r>
            <w:r w:rsidRPr="007D689C">
              <w:rPr>
                <w:rFonts w:ascii="宋体" w:eastAsia="宋体" w:hAnsi="宋体" w:cs="宋体" w:hint="eastAsia"/>
                <w:kern w:val="0"/>
                <w:szCs w:val="21"/>
                <w:u w:color="000000"/>
              </w:rPr>
              <w:t>℃</w:t>
            </w:r>
          </w:p>
          <w:p w:rsidR="00DA5C62" w:rsidRPr="007D689C" w:rsidRDefault="00DA5C62" w:rsidP="001E212B">
            <w:pPr>
              <w:widowControl/>
              <w:spacing w:line="351" w:lineRule="atLeast"/>
              <w:ind w:firstLineChars="177" w:firstLine="372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相对湿度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 xml:space="preserve"> 45%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～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75%</w:t>
            </w:r>
          </w:p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2</w:t>
            </w:r>
          </w:p>
        </w:tc>
      </w:tr>
      <w:tr w:rsidR="00DA5C62" w:rsidRPr="007D689C" w:rsidTr="001E212B">
        <w:trPr>
          <w:trHeight w:hRule="exact" w:val="862"/>
          <w:jc w:val="center"/>
        </w:trPr>
        <w:tc>
          <w:tcPr>
            <w:tcW w:w="9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</w:p>
        </w:tc>
        <w:tc>
          <w:tcPr>
            <w:tcW w:w="155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</w:p>
        </w:tc>
        <w:tc>
          <w:tcPr>
            <w:tcW w:w="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Chars="177" w:firstLine="372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环境温度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 xml:space="preserve"> 25</w:t>
            </w:r>
            <w:r w:rsidRPr="007D689C">
              <w:rPr>
                <w:rFonts w:ascii="宋体" w:eastAsia="宋体" w:hAnsi="宋体" w:cs="宋体" w:hint="eastAsia"/>
                <w:kern w:val="0"/>
                <w:szCs w:val="21"/>
                <w:u w:color="000000"/>
              </w:rPr>
              <w:t>℃</w:t>
            </w:r>
          </w:p>
          <w:p w:rsidR="00DA5C62" w:rsidRPr="007D689C" w:rsidRDefault="00DA5C62" w:rsidP="001E212B">
            <w:pPr>
              <w:widowControl/>
              <w:spacing w:line="351" w:lineRule="atLeast"/>
              <w:ind w:firstLineChars="177" w:firstLine="372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相对湿度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 xml:space="preserve"> 95%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fldChar w:fldCharType="begin"/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instrText xml:space="preserve"> = 1 \* GB3 </w:instrTex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fldChar w:fldCharType="separate"/>
            </w:r>
            <w:r w:rsidRPr="007D689C">
              <w:rPr>
                <w:rFonts w:ascii="宋体" w:eastAsia="宋体" w:hAnsi="宋体" w:cs="宋体" w:hint="eastAsia"/>
                <w:noProof/>
                <w:kern w:val="0"/>
                <w:szCs w:val="21"/>
                <w:u w:color="000000"/>
              </w:rPr>
              <w:t>①</w:t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fldChar w:fldCharType="end"/>
            </w: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U/1000</w:t>
            </w:r>
          </w:p>
        </w:tc>
      </w:tr>
      <w:tr w:rsidR="00DA5C62" w:rsidRPr="007D689C" w:rsidTr="001E212B">
        <w:trPr>
          <w:trHeight w:hRule="exact" w:val="571"/>
          <w:jc w:val="center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Chars="59" w:firstLine="124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热态</w:t>
            </w:r>
          </w:p>
        </w:tc>
        <w:tc>
          <w:tcPr>
            <w:tcW w:w="1558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Chars="118" w:firstLine="248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热态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5C62" w:rsidRPr="007D689C" w:rsidRDefault="00DA5C62" w:rsidP="001E212B">
            <w:pPr>
              <w:widowControl/>
              <w:spacing w:line="351" w:lineRule="atLeast"/>
              <w:ind w:firstLine="419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</w:pPr>
            <w:r w:rsidRPr="007D689C">
              <w:rPr>
                <w:rFonts w:ascii="Times New Roman" w:eastAsia="宋体" w:hAnsi="Times New Roman" w:cs="Times New Roman"/>
                <w:kern w:val="0"/>
                <w:szCs w:val="21"/>
                <w:u w:color="000000"/>
              </w:rPr>
              <w:t>0.5</w:t>
            </w:r>
          </w:p>
        </w:tc>
      </w:tr>
    </w:tbl>
    <w:p w:rsidR="00DA5C62" w:rsidRPr="007D689C" w:rsidRDefault="00DA5C62" w:rsidP="00DA5C62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电站各独立电气回路对地及回路间能承受电压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1440V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、频率为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50Hz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的正弦波、历时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 xml:space="preserve"> 1min 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的绝缘介电强度试验而无穿或闪络现象。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2.10.6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环境适应性</w:t>
      </w:r>
    </w:p>
    <w:p w:rsidR="00DA5C62" w:rsidRPr="007D689C" w:rsidRDefault="00DA5C62" w:rsidP="00DA5C62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hanging="633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环境适应性研制工作应符合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 xml:space="preserve">GJB 4239 </w:t>
      </w: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《装备环境工程通用要求》的有关规定；</w:t>
      </w:r>
    </w:p>
    <w:p w:rsidR="00DA5C62" w:rsidRPr="007D689C" w:rsidRDefault="00DA5C62" w:rsidP="00DA5C62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hanging="633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道路适应能力同原挂车底盘保持一致；</w:t>
      </w:r>
    </w:p>
    <w:p w:rsidR="00DA5C62" w:rsidRPr="007D689C" w:rsidRDefault="00DA5C62" w:rsidP="00DA5C62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hanging="633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689C">
        <w:rPr>
          <w:rFonts w:ascii="Times New Roman" w:eastAsia="宋体" w:hAnsi="Times New Roman" w:cs="Times New Roman"/>
          <w:kern w:val="0"/>
          <w:sz w:val="24"/>
          <w:szCs w:val="24"/>
        </w:rPr>
        <w:t>环境适应性定量要求：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404" w:left="848" w:firstLineChars="117" w:firstLine="281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海拔高度：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sz w:val="24"/>
          <w:szCs w:val="24"/>
        </w:rPr>
        <w:t>3000m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404" w:left="848" w:firstLineChars="117" w:firstLine="281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工作温度：</w:t>
      </w:r>
      <w:r w:rsidRPr="007D689C">
        <w:rPr>
          <w:rFonts w:ascii="Times New Roman" w:eastAsia="宋体" w:hAnsi="Times New Roman" w:cs="Times New Roman"/>
          <w:sz w:val="24"/>
          <w:szCs w:val="24"/>
        </w:rPr>
        <w:t>-41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～</w:t>
      </w:r>
      <w:r w:rsidRPr="007D689C">
        <w:rPr>
          <w:rFonts w:ascii="Times New Roman" w:eastAsia="宋体" w:hAnsi="Times New Roman" w:cs="Times New Roman"/>
          <w:sz w:val="24"/>
          <w:szCs w:val="24"/>
        </w:rPr>
        <w:t>+46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404" w:left="848" w:firstLineChars="117" w:firstLine="281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存储极限温度：</w:t>
      </w:r>
      <w:r w:rsidRPr="007D689C">
        <w:rPr>
          <w:rFonts w:ascii="Times New Roman" w:eastAsia="宋体" w:hAnsi="Times New Roman" w:cs="Times New Roman"/>
          <w:sz w:val="24"/>
          <w:szCs w:val="24"/>
        </w:rPr>
        <w:t>-55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，﹢</w:t>
      </w:r>
      <w:r w:rsidRPr="007D689C">
        <w:rPr>
          <w:rFonts w:ascii="Times New Roman" w:eastAsia="宋体" w:hAnsi="Times New Roman" w:cs="Times New Roman"/>
          <w:sz w:val="24"/>
          <w:szCs w:val="24"/>
        </w:rPr>
        <w:t>70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404" w:left="848" w:firstLineChars="117" w:firstLine="281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空气相对湿度：</w:t>
      </w:r>
      <w:r w:rsidRPr="007D689C">
        <w:rPr>
          <w:rFonts w:ascii="宋体" w:hAnsi="宋体" w:cs="Arial" w:hint="eastAsia"/>
          <w:sz w:val="24"/>
          <w:szCs w:val="24"/>
        </w:rPr>
        <w:t>≤</w:t>
      </w:r>
      <w:r w:rsidRPr="007D689C">
        <w:rPr>
          <w:rFonts w:ascii="Times New Roman" w:eastAsia="宋体" w:hAnsi="Times New Roman" w:cs="Times New Roman"/>
          <w:sz w:val="24"/>
          <w:szCs w:val="24"/>
        </w:rPr>
        <w:t>95%</w:t>
      </w:r>
      <w:r w:rsidRPr="007D689C">
        <w:rPr>
          <w:rFonts w:ascii="Times New Roman" w:eastAsia="宋体" w:hAnsi="Times New Roman" w:cs="Times New Roman"/>
          <w:sz w:val="24"/>
          <w:szCs w:val="24"/>
        </w:rPr>
        <w:t>（</w:t>
      </w:r>
      <w:r w:rsidRPr="007D689C">
        <w:rPr>
          <w:rFonts w:ascii="Times New Roman" w:eastAsia="宋体" w:hAnsi="Times New Roman" w:cs="Times New Roman"/>
          <w:sz w:val="24"/>
          <w:szCs w:val="24"/>
        </w:rPr>
        <w:t>30</w:t>
      </w:r>
      <w:r w:rsidRPr="007D689C">
        <w:rPr>
          <w:rFonts w:ascii="宋体" w:eastAsia="宋体" w:hAnsi="宋体" w:cs="宋体" w:hint="eastAsia"/>
          <w:sz w:val="24"/>
          <w:szCs w:val="24"/>
        </w:rPr>
        <w:t>℃</w:t>
      </w:r>
      <w:r w:rsidRPr="007D689C">
        <w:rPr>
          <w:rFonts w:ascii="Times New Roman" w:eastAsia="宋体" w:hAnsi="Times New Roman" w:cs="Times New Roman"/>
          <w:sz w:val="24"/>
          <w:szCs w:val="24"/>
        </w:rPr>
        <w:t>）；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leftChars="404" w:left="848" w:firstLineChars="117" w:firstLine="281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淋雨：</w:t>
      </w:r>
      <w:r w:rsidRPr="007D689C">
        <w:rPr>
          <w:rFonts w:ascii="Times New Roman" w:eastAsia="宋体" w:hAnsi="Times New Roman" w:cs="Times New Roman"/>
          <w:sz w:val="24"/>
          <w:szCs w:val="24"/>
        </w:rPr>
        <w:t>6mm/min</w:t>
      </w:r>
      <w:r w:rsidRPr="007D689C">
        <w:rPr>
          <w:rFonts w:ascii="Times New Roman" w:eastAsia="宋体" w:hAnsi="Times New Roman" w:cs="Times New Roman"/>
          <w:sz w:val="24"/>
          <w:szCs w:val="24"/>
        </w:rPr>
        <w:t>（</w:t>
      </w:r>
      <w:r w:rsidRPr="007D689C">
        <w:rPr>
          <w:rFonts w:ascii="Times New Roman" w:eastAsia="宋体" w:hAnsi="Times New Roman" w:cs="Times New Roman"/>
          <w:sz w:val="24"/>
          <w:szCs w:val="24"/>
        </w:rPr>
        <w:t>30min</w:t>
      </w:r>
      <w:r w:rsidRPr="007D689C">
        <w:rPr>
          <w:rFonts w:ascii="Times New Roman" w:eastAsia="宋体" w:hAnsi="Times New Roman" w:cs="Times New Roman"/>
          <w:sz w:val="24"/>
          <w:szCs w:val="24"/>
        </w:rPr>
        <w:t>）；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 xml:space="preserve"> 2.10.7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电磁兼容性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a)</w:t>
      </w:r>
      <w:r w:rsidRPr="007D689C">
        <w:rPr>
          <w:rFonts w:ascii="Times New Roman" w:eastAsia="宋体" w:hAnsi="Times New Roman" w:cs="Times New Roman"/>
          <w:sz w:val="24"/>
          <w:szCs w:val="24"/>
        </w:rPr>
        <w:t>电磁兼容性研制工作符合</w:t>
      </w:r>
      <w:r w:rsidRPr="007D689C">
        <w:rPr>
          <w:rFonts w:ascii="Times New Roman" w:eastAsia="宋体" w:hAnsi="Times New Roman" w:cs="Times New Roman"/>
          <w:sz w:val="24"/>
          <w:szCs w:val="24"/>
        </w:rPr>
        <w:t>GJB 1389A</w:t>
      </w:r>
      <w:r w:rsidRPr="007D689C">
        <w:rPr>
          <w:rFonts w:ascii="Times New Roman" w:eastAsia="宋体" w:hAnsi="Times New Roman" w:cs="Times New Roman"/>
          <w:sz w:val="24"/>
          <w:szCs w:val="24"/>
        </w:rPr>
        <w:t>《系统电磁兼容性要求》的有关规定；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b)</w:t>
      </w:r>
      <w:r w:rsidRPr="007D689C">
        <w:rPr>
          <w:rFonts w:ascii="Times New Roman" w:eastAsia="宋体" w:hAnsi="Times New Roman" w:cs="Times New Roman"/>
          <w:sz w:val="24"/>
          <w:szCs w:val="24"/>
        </w:rPr>
        <w:t>分系统和设备的电磁兼容性符合</w:t>
      </w:r>
      <w:r w:rsidRPr="007D689C">
        <w:rPr>
          <w:rFonts w:ascii="Times New Roman" w:eastAsia="宋体" w:hAnsi="Times New Roman" w:cs="Times New Roman"/>
          <w:sz w:val="24"/>
          <w:szCs w:val="24"/>
        </w:rPr>
        <w:t>GJB 151B</w:t>
      </w:r>
      <w:r w:rsidRPr="007D689C">
        <w:rPr>
          <w:rFonts w:ascii="Times New Roman" w:eastAsia="宋体" w:hAnsi="Times New Roman" w:cs="Times New Roman"/>
          <w:sz w:val="24"/>
          <w:szCs w:val="24"/>
        </w:rPr>
        <w:t>《军用设备和分系统电磁发射和敏感度要求及测量》的有关规定；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c)</w:t>
      </w:r>
      <w:r w:rsidRPr="007D689C">
        <w:rPr>
          <w:rFonts w:ascii="Times New Roman" w:eastAsia="宋体" w:hAnsi="Times New Roman" w:cs="Times New Roman"/>
          <w:sz w:val="24"/>
          <w:szCs w:val="24"/>
        </w:rPr>
        <w:t>电站能够有效抵抗来自自然环境和周围设备的电磁干扰，并使电站自身产生的电磁干扰抑制到允许的程度，保证设备、系统内、系统间在预定的电磁环境中能正常兼容工作。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d)</w:t>
      </w:r>
      <w:r w:rsidRPr="007D689C">
        <w:rPr>
          <w:rFonts w:ascii="Times New Roman" w:eastAsia="宋体" w:hAnsi="Times New Roman" w:cs="Times New Roman"/>
          <w:sz w:val="24"/>
          <w:szCs w:val="24"/>
        </w:rPr>
        <w:t>机组电磁发射和敏感度要求满足</w:t>
      </w:r>
      <w:r w:rsidRPr="007D689C">
        <w:rPr>
          <w:rFonts w:ascii="Times New Roman" w:eastAsia="宋体" w:hAnsi="Times New Roman" w:cs="Times New Roman"/>
          <w:sz w:val="24"/>
          <w:szCs w:val="24"/>
        </w:rPr>
        <w:t>GJB235A</w:t>
      </w:r>
      <w:r w:rsidRPr="007D689C">
        <w:rPr>
          <w:rFonts w:ascii="Times New Roman" w:eastAsia="宋体" w:hAnsi="Times New Roman" w:cs="Times New Roman"/>
          <w:sz w:val="24"/>
          <w:szCs w:val="24"/>
        </w:rPr>
        <w:t>《军用交流移动电站通用规范》</w:t>
      </w:r>
      <w:r w:rsidRPr="007D689C">
        <w:rPr>
          <w:rFonts w:ascii="Times New Roman" w:eastAsia="宋体" w:hAnsi="Times New Roman" w:cs="Times New Roman"/>
          <w:sz w:val="24"/>
          <w:szCs w:val="24"/>
        </w:rPr>
        <w:t>3.9.3</w:t>
      </w:r>
      <w:r w:rsidRPr="007D689C">
        <w:rPr>
          <w:rFonts w:ascii="Times New Roman" w:eastAsia="宋体" w:hAnsi="Times New Roman" w:cs="Times New Roman"/>
          <w:sz w:val="24"/>
          <w:szCs w:val="24"/>
        </w:rPr>
        <w:t>无线电干扰要求。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2.11</w:t>
      </w: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产品包装、贮运要求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D689C">
        <w:rPr>
          <w:rFonts w:ascii="Times New Roman" w:eastAsia="宋体" w:hAnsi="Times New Roman" w:cs="Times New Roman"/>
          <w:sz w:val="24"/>
          <w:szCs w:val="24"/>
        </w:rPr>
        <w:t>按照</w:t>
      </w:r>
      <w:r w:rsidRPr="007D689C">
        <w:rPr>
          <w:rFonts w:ascii="Times New Roman" w:eastAsia="宋体" w:hAnsi="Times New Roman" w:cs="Times New Roman"/>
          <w:sz w:val="24"/>
          <w:szCs w:val="24"/>
        </w:rPr>
        <w:t>GJB1181-91</w:t>
      </w:r>
      <w:r w:rsidRPr="007D689C">
        <w:rPr>
          <w:rFonts w:ascii="Times New Roman" w:eastAsia="宋体" w:hAnsi="Times New Roman" w:cs="Times New Roman"/>
          <w:sz w:val="24"/>
          <w:szCs w:val="24"/>
        </w:rPr>
        <w:t>《军用装备包装、装卸、贮存和运输通用大纲》有关规定和要求执行。</w:t>
      </w:r>
    </w:p>
    <w:p w:rsidR="00DA5C62" w:rsidRPr="007D689C" w:rsidRDefault="00DA5C62" w:rsidP="00DA5C6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</w:pPr>
      <w:r w:rsidRPr="007D689C">
        <w:rPr>
          <w:rFonts w:ascii="Times New Roman" w:eastAsia="宋体" w:hAnsi="Times New Roman" w:cs="Times New Roman" w:hint="eastAsia"/>
          <w:b/>
          <w:kern w:val="0"/>
          <w:sz w:val="24"/>
          <w:szCs w:val="24"/>
          <w:u w:color="000000"/>
        </w:rPr>
        <w:t>2.12</w:t>
      </w:r>
      <w:r w:rsidRPr="007D689C">
        <w:rPr>
          <w:rFonts w:ascii="Times New Roman" w:eastAsia="宋体" w:hAnsi="Times New Roman" w:cs="Times New Roman"/>
          <w:b/>
          <w:kern w:val="0"/>
          <w:sz w:val="24"/>
          <w:szCs w:val="24"/>
          <w:u w:color="000000"/>
        </w:rPr>
        <w:t>其他要求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a)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运输性：满足公路、铁路、水上和空中运输要求；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b)</w:t>
      </w:r>
      <w:r w:rsidRPr="007D689C">
        <w:rPr>
          <w:rFonts w:ascii="Times New Roman" w:eastAsia="宋体" w:hAnsi="Times New Roman" w:cs="宋体"/>
          <w:kern w:val="0"/>
          <w:sz w:val="24"/>
          <w:szCs w:val="24"/>
        </w:rPr>
        <w:t>标准化系数大于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80%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。</w:t>
      </w:r>
    </w:p>
    <w:p w:rsidR="00DA5C62" w:rsidRPr="007D689C" w:rsidRDefault="00DA5C62" w:rsidP="00DA5C62">
      <w:pPr>
        <w:pStyle w:val="1"/>
        <w:tabs>
          <w:tab w:val="num" w:pos="360"/>
          <w:tab w:val="left" w:pos="420"/>
        </w:tabs>
        <w:adjustRightInd w:val="0"/>
        <w:snapToGrid w:val="0"/>
        <w:spacing w:beforeLines="100" w:before="312" w:after="0" w:line="360" w:lineRule="auto"/>
        <w:rPr>
          <w:rFonts w:ascii="黑体" w:eastAsia="黑体"/>
          <w:b w:val="0"/>
          <w:sz w:val="24"/>
          <w:szCs w:val="24"/>
        </w:rPr>
      </w:pPr>
      <w:r w:rsidRPr="007D689C">
        <w:rPr>
          <w:rFonts w:ascii="黑体" w:eastAsia="黑体" w:hint="eastAsia"/>
          <w:b w:val="0"/>
          <w:sz w:val="24"/>
          <w:szCs w:val="24"/>
        </w:rPr>
        <w:t>3技术培训及售后服务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a)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免费保修期：开始使用后不小于</w:t>
      </w:r>
      <w:r w:rsidRPr="007D689C">
        <w:rPr>
          <w:rFonts w:ascii="Times New Roman" w:eastAsia="宋体" w:hAnsi="Times New Roman" w:cs="宋体"/>
          <w:kern w:val="0"/>
          <w:sz w:val="24"/>
          <w:szCs w:val="24"/>
        </w:rPr>
        <w:t>1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年。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b)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跟踪维修时限：全寿命周期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c)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培训内容：使用﹑维护﹑保养</w:t>
      </w:r>
    </w:p>
    <w:p w:rsidR="00DA5C62" w:rsidRPr="007D689C" w:rsidRDefault="00DA5C62" w:rsidP="00DA5C62">
      <w:pPr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  <w:szCs w:val="24"/>
        </w:rPr>
      </w:pP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d)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其他：对所供装备的维修必须立即响应，一般地区</w:t>
      </w:r>
      <w:r w:rsidRPr="007D689C">
        <w:rPr>
          <w:rFonts w:ascii="Times New Roman" w:eastAsia="宋体" w:hAnsi="Times New Roman" w:cs="宋体"/>
          <w:kern w:val="0"/>
          <w:sz w:val="24"/>
          <w:szCs w:val="24"/>
        </w:rPr>
        <w:t>24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小时到达，边远地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lastRenderedPageBreak/>
        <w:t>区</w:t>
      </w:r>
      <w:r w:rsidRPr="007D689C">
        <w:rPr>
          <w:rFonts w:ascii="Times New Roman" w:eastAsia="宋体" w:hAnsi="Times New Roman" w:cs="宋体"/>
          <w:kern w:val="0"/>
          <w:sz w:val="24"/>
          <w:szCs w:val="24"/>
        </w:rPr>
        <w:t>72</w:t>
      </w:r>
      <w:r w:rsidRPr="007D689C">
        <w:rPr>
          <w:rFonts w:ascii="Times New Roman" w:eastAsia="宋体" w:hAnsi="Times New Roman" w:cs="宋体" w:hint="eastAsia"/>
          <w:kern w:val="0"/>
          <w:sz w:val="24"/>
          <w:szCs w:val="24"/>
        </w:rPr>
        <w:t>小时到达现场。并提供免费技术支持。</w:t>
      </w:r>
    </w:p>
    <w:p w:rsidR="00DA5C62" w:rsidRPr="007D689C" w:rsidRDefault="00DA5C62" w:rsidP="00DA5C62">
      <w:pPr>
        <w:pStyle w:val="1"/>
        <w:tabs>
          <w:tab w:val="num" w:pos="360"/>
          <w:tab w:val="left" w:pos="420"/>
        </w:tabs>
        <w:adjustRightInd w:val="0"/>
        <w:snapToGrid w:val="0"/>
        <w:spacing w:beforeLines="100" w:before="312" w:after="0" w:line="360" w:lineRule="auto"/>
        <w:rPr>
          <w:rFonts w:ascii="黑体" w:eastAsia="黑体"/>
          <w:b w:val="0"/>
          <w:sz w:val="24"/>
          <w:szCs w:val="24"/>
        </w:rPr>
      </w:pPr>
      <w:r w:rsidRPr="007D689C">
        <w:rPr>
          <w:rFonts w:ascii="黑体" w:eastAsia="黑体" w:hint="eastAsia"/>
          <w:b w:val="0"/>
          <w:sz w:val="24"/>
          <w:szCs w:val="24"/>
        </w:rPr>
        <w:t>4交货时间</w:t>
      </w:r>
    </w:p>
    <w:p w:rsidR="007C7898" w:rsidRDefault="00DA5C62" w:rsidP="00DA5C62">
      <w:r w:rsidRPr="007D689C">
        <w:rPr>
          <w:rFonts w:ascii="Times New Roman" w:eastAsia="宋体" w:hAnsi="Times New Roman" w:cs="Times New Roman" w:hint="eastAsia"/>
          <w:kern w:val="0"/>
          <w:sz w:val="24"/>
          <w:szCs w:val="24"/>
          <w:u w:color="000000"/>
        </w:rPr>
        <w:t>交货时间：合同签订后三个月内。</w:t>
      </w:r>
    </w:p>
    <w:sectPr w:rsidR="007C7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9DA" w:rsidRDefault="00C359DA" w:rsidP="00DA5C62">
      <w:r>
        <w:separator/>
      </w:r>
    </w:p>
  </w:endnote>
  <w:endnote w:type="continuationSeparator" w:id="0">
    <w:p w:rsidR="00C359DA" w:rsidRDefault="00C359DA" w:rsidP="00DA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9DA" w:rsidRDefault="00C359DA" w:rsidP="00DA5C62">
      <w:r>
        <w:separator/>
      </w:r>
    </w:p>
  </w:footnote>
  <w:footnote w:type="continuationSeparator" w:id="0">
    <w:p w:rsidR="00C359DA" w:rsidRDefault="00C359DA" w:rsidP="00DA5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3B76"/>
    <w:multiLevelType w:val="hybridMultilevel"/>
    <w:tmpl w:val="2D347F34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1">
    <w:nsid w:val="16DE084B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2">
    <w:nsid w:val="1FCB7841"/>
    <w:multiLevelType w:val="hybridMultilevel"/>
    <w:tmpl w:val="AEBAC814"/>
    <w:lvl w:ilvl="0" w:tplc="BA1E9E26">
      <w:start w:val="1"/>
      <w:numFmt w:val="lowerLetter"/>
      <w:lvlText w:val="%1)"/>
      <w:lvlJc w:val="left"/>
      <w:pPr>
        <w:ind w:left="120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E000955"/>
    <w:multiLevelType w:val="hybridMultilevel"/>
    <w:tmpl w:val="4CD05AA8"/>
    <w:lvl w:ilvl="0" w:tplc="04090019">
      <w:start w:val="1"/>
      <w:numFmt w:val="lowerLetter"/>
      <w:lvlText w:val="%1)"/>
      <w:lvlJc w:val="left"/>
      <w:pPr>
        <w:ind w:left="9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54440D2D"/>
    <w:multiLevelType w:val="hybridMultilevel"/>
    <w:tmpl w:val="59B2711C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5">
    <w:nsid w:val="643B6CFF"/>
    <w:multiLevelType w:val="hybridMultilevel"/>
    <w:tmpl w:val="A3149E6E"/>
    <w:lvl w:ilvl="0" w:tplc="04090019">
      <w:start w:val="1"/>
      <w:numFmt w:val="lowerLetter"/>
      <w:lvlText w:val="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64E873CD"/>
    <w:multiLevelType w:val="hybridMultilevel"/>
    <w:tmpl w:val="93A4765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77DB5238"/>
    <w:multiLevelType w:val="hybridMultilevel"/>
    <w:tmpl w:val="338E2830"/>
    <w:lvl w:ilvl="0" w:tplc="ABCC65DA">
      <w:start w:val="1"/>
      <w:numFmt w:val="lowerLetter"/>
      <w:lvlText w:val="%1)"/>
      <w:lvlJc w:val="left"/>
      <w:pPr>
        <w:ind w:left="120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6C5"/>
    <w:rsid w:val="00046B85"/>
    <w:rsid w:val="00745DDF"/>
    <w:rsid w:val="007C7898"/>
    <w:rsid w:val="00C359DA"/>
    <w:rsid w:val="00DA5C62"/>
    <w:rsid w:val="00E3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62"/>
    <w:pPr>
      <w:widowControl w:val="0"/>
      <w:jc w:val="both"/>
    </w:pPr>
  </w:style>
  <w:style w:type="paragraph" w:styleId="1">
    <w:name w:val="heading 1"/>
    <w:aliases w:val="yz标题 1,Char,章节,名称,论文题目,第一层,标题1,1,1    标题 1,一级标题,章,H1,Section Heading,Heading 0,R1,H11,标题 1t,我的标题 1,名称 Char,Char Char,编号标题 1,新标题 1,章标题(有序号)"/>
    <w:basedOn w:val="a"/>
    <w:next w:val="a"/>
    <w:link w:val="1Char"/>
    <w:qFormat/>
    <w:rsid w:val="00DA5C6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C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C62"/>
    <w:rPr>
      <w:sz w:val="18"/>
      <w:szCs w:val="18"/>
    </w:rPr>
  </w:style>
  <w:style w:type="character" w:customStyle="1" w:styleId="1Char">
    <w:name w:val="标题 1 Char"/>
    <w:aliases w:val="yz标题 1 Char,Char Char1,章节 Char,名称 Char1,论文题目 Char,第一层 Char,标题1 Char,1 Char,1    标题 1 Char,一级标题 Char,章 Char,H1 Char,Section Heading Char,Heading 0 Char,R1 Char,H11 Char,标题 1t Char,我的标题 1 Char,名称 Char Char,Char Char Char,编号标题 1 Char,新标题 1 Char"/>
    <w:basedOn w:val="a0"/>
    <w:link w:val="1"/>
    <w:qFormat/>
    <w:rsid w:val="00DA5C6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1级标题"/>
    <w:basedOn w:val="1"/>
    <w:next w:val="a"/>
    <w:autoRedefine/>
    <w:rsid w:val="00DA5C62"/>
    <w:pPr>
      <w:widowControl/>
      <w:spacing w:beforeLines="100" w:after="0" w:line="360" w:lineRule="auto"/>
      <w:jc w:val="center"/>
    </w:pPr>
    <w:rPr>
      <w:rFonts w:ascii="方正小标宋简体" w:eastAsia="方正小标宋简体"/>
      <w:b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62"/>
    <w:pPr>
      <w:widowControl w:val="0"/>
      <w:jc w:val="both"/>
    </w:pPr>
  </w:style>
  <w:style w:type="paragraph" w:styleId="1">
    <w:name w:val="heading 1"/>
    <w:aliases w:val="yz标题 1,Char,章节,名称,论文题目,第一层,标题1,1,1    标题 1,一级标题,章,H1,Section Heading,Heading 0,R1,H11,标题 1t,我的标题 1,名称 Char,Char Char,编号标题 1,新标题 1,章标题(有序号)"/>
    <w:basedOn w:val="a"/>
    <w:next w:val="a"/>
    <w:link w:val="1Char"/>
    <w:qFormat/>
    <w:rsid w:val="00DA5C6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C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C62"/>
    <w:rPr>
      <w:sz w:val="18"/>
      <w:szCs w:val="18"/>
    </w:rPr>
  </w:style>
  <w:style w:type="character" w:customStyle="1" w:styleId="1Char">
    <w:name w:val="标题 1 Char"/>
    <w:aliases w:val="yz标题 1 Char,Char Char1,章节 Char,名称 Char1,论文题目 Char,第一层 Char,标题1 Char,1 Char,1    标题 1 Char,一级标题 Char,章 Char,H1 Char,Section Heading Char,Heading 0 Char,R1 Char,H11 Char,标题 1t Char,我的标题 1 Char,名称 Char Char,Char Char Char,编号标题 1 Char,新标题 1 Char"/>
    <w:basedOn w:val="a0"/>
    <w:link w:val="1"/>
    <w:qFormat/>
    <w:rsid w:val="00DA5C6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1级标题"/>
    <w:basedOn w:val="1"/>
    <w:next w:val="a"/>
    <w:autoRedefine/>
    <w:rsid w:val="00DA5C62"/>
    <w:pPr>
      <w:widowControl/>
      <w:spacing w:beforeLines="100" w:after="0" w:line="360" w:lineRule="auto"/>
      <w:jc w:val="center"/>
    </w:pPr>
    <w:rPr>
      <w:rFonts w:ascii="方正小标宋简体" w:eastAsia="方正小标宋简体"/>
      <w:b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467</Words>
  <Characters>2664</Characters>
  <Application>Microsoft Office Word</Application>
  <DocSecurity>0</DocSecurity>
  <Lines>22</Lines>
  <Paragraphs>6</Paragraphs>
  <ScaleCrop>false</ScaleCrop>
  <Company>Sky123.Org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3</cp:revision>
  <dcterms:created xsi:type="dcterms:W3CDTF">2018-04-26T08:24:00Z</dcterms:created>
  <dcterms:modified xsi:type="dcterms:W3CDTF">2018-04-28T01:41:00Z</dcterms:modified>
</cp:coreProperties>
</file>